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71" w:rsidRPr="007D2371" w:rsidRDefault="007D2371" w:rsidP="007D2371">
      <w:pPr>
        <w:jc w:val="center"/>
        <w:rPr>
          <w:b/>
          <w:sz w:val="28"/>
          <w:szCs w:val="28"/>
        </w:rPr>
      </w:pPr>
      <w:bookmarkStart w:id="0" w:name="_GoBack"/>
      <w:bookmarkEnd w:id="0"/>
      <w:r w:rsidRPr="007D2371">
        <w:rPr>
          <w:b/>
          <w:sz w:val="28"/>
          <w:szCs w:val="28"/>
        </w:rPr>
        <w:t>ABA Terminology Explained</w:t>
      </w:r>
    </w:p>
    <w:tbl>
      <w:tblPr>
        <w:tblStyle w:val="TableGrid"/>
        <w:tblW w:w="0" w:type="auto"/>
        <w:tblLook w:val="04A0" w:firstRow="1" w:lastRow="0" w:firstColumn="1" w:lastColumn="0" w:noHBand="0" w:noVBand="1"/>
      </w:tblPr>
      <w:tblGrid>
        <w:gridCol w:w="2337"/>
        <w:gridCol w:w="7013"/>
      </w:tblGrid>
      <w:tr w:rsidR="00EF7D63" w:rsidTr="00EF7D63">
        <w:tc>
          <w:tcPr>
            <w:tcW w:w="2337" w:type="dxa"/>
            <w:shd w:val="clear" w:color="auto" w:fill="D9D9D9" w:themeFill="background1" w:themeFillShade="D9"/>
          </w:tcPr>
          <w:p w:rsidR="00EF7D63" w:rsidRPr="00006E20" w:rsidRDefault="00EF7D63" w:rsidP="00EF7D63">
            <w:pPr>
              <w:rPr>
                <w:b/>
                <w:i/>
              </w:rPr>
            </w:pPr>
            <w:r w:rsidRPr="00006E20">
              <w:rPr>
                <w:b/>
                <w:i/>
              </w:rPr>
              <w:t>ABA Terminology</w:t>
            </w:r>
          </w:p>
        </w:tc>
        <w:tc>
          <w:tcPr>
            <w:tcW w:w="7013" w:type="dxa"/>
            <w:shd w:val="clear" w:color="auto" w:fill="D9D9D9" w:themeFill="background1" w:themeFillShade="D9"/>
          </w:tcPr>
          <w:p w:rsidR="00EF7D63" w:rsidRPr="00006E20" w:rsidRDefault="00EF7D63" w:rsidP="00EF7D63">
            <w:pPr>
              <w:rPr>
                <w:b/>
                <w:i/>
              </w:rPr>
            </w:pPr>
            <w:r w:rsidRPr="00006E20">
              <w:rPr>
                <w:b/>
                <w:i/>
              </w:rPr>
              <w:t>Definition</w:t>
            </w:r>
          </w:p>
        </w:tc>
      </w:tr>
      <w:tr w:rsidR="00EF7D63" w:rsidTr="005E3610">
        <w:tc>
          <w:tcPr>
            <w:tcW w:w="2337" w:type="dxa"/>
            <w:shd w:val="clear" w:color="auto" w:fill="auto"/>
          </w:tcPr>
          <w:p w:rsidR="00EF7D63" w:rsidRDefault="00EF7D63" w:rsidP="00EF7D63">
            <w:r>
              <w:t>Applied Behaviour</w:t>
            </w:r>
            <w:r w:rsidR="005D5DD9">
              <w:t xml:space="preserve"> Analysis</w:t>
            </w:r>
            <w:r>
              <w:t xml:space="preserve"> ABA</w:t>
            </w:r>
          </w:p>
          <w:p w:rsidR="002F141E" w:rsidRDefault="002F141E" w:rsidP="00EF7D63"/>
          <w:p w:rsidR="002F141E" w:rsidRDefault="002F141E" w:rsidP="00EF7D63">
            <w:r>
              <w:t>The science of behaviour change.</w:t>
            </w:r>
          </w:p>
        </w:tc>
        <w:tc>
          <w:tcPr>
            <w:tcW w:w="7013" w:type="dxa"/>
            <w:shd w:val="clear" w:color="auto" w:fill="auto"/>
          </w:tcPr>
          <w:p w:rsidR="002F141E" w:rsidRDefault="00EF7D63" w:rsidP="00AF7247">
            <w:r w:rsidRPr="001F11C3">
              <w:t>Applied Behaviour Analysis (ABA) is a field of study that examines the relationship between the environment, behaviour and consequences. ABA is a scientific approach to chang</w:t>
            </w:r>
            <w:r w:rsidR="00AF7247">
              <w:t>ing</w:t>
            </w:r>
            <w:r w:rsidRPr="001F11C3">
              <w:t xml:space="preserve"> behaviour by either increasing desirable skills or decreasing undesirable ones and can be used as </w:t>
            </w:r>
            <w:r w:rsidR="00AF7247">
              <w:t xml:space="preserve">a teaching </w:t>
            </w:r>
            <w:r w:rsidRPr="001F11C3">
              <w:t xml:space="preserve"> approach with people of all ages (Alberto &amp; Troutman, 2003</w:t>
            </w:r>
            <w:r>
              <w:t xml:space="preserve">) </w:t>
            </w:r>
            <w:r w:rsidR="00AF7247">
              <w:t xml:space="preserve">  The terms  IBI (intensive behaviour intervention) and ABA were used in the past to describe a more specific type of ABA, but the </w:t>
            </w:r>
            <w:r w:rsidR="002F141E" w:rsidRPr="00FD3BEA">
              <w:t>Behaviour Analyst Certifi</w:t>
            </w:r>
            <w:r w:rsidR="00AF7247">
              <w:t xml:space="preserve">cation Board now </w:t>
            </w:r>
            <w:r w:rsidR="002F141E">
              <w:t xml:space="preserve"> instead uses</w:t>
            </w:r>
            <w:r w:rsidR="002F141E" w:rsidRPr="00FD3BEA">
              <w:t xml:space="preserve"> </w:t>
            </w:r>
            <w:r w:rsidR="00AF7247">
              <w:t>“</w:t>
            </w:r>
            <w:r w:rsidR="002F141E" w:rsidRPr="00FD3BEA">
              <w:t>comprehensive ABA</w:t>
            </w:r>
            <w:r w:rsidR="00AF7247">
              <w:t>”</w:t>
            </w:r>
            <w:r w:rsidR="002F141E" w:rsidRPr="00FD3BEA">
              <w:t xml:space="preserve"> and </w:t>
            </w:r>
            <w:r w:rsidR="00AF7247">
              <w:t>“</w:t>
            </w:r>
            <w:r w:rsidR="002F141E" w:rsidRPr="00FD3BEA">
              <w:t>focused ABA</w:t>
            </w:r>
            <w:r w:rsidR="00AF7247">
              <w:t xml:space="preserve">” instead.  </w:t>
            </w:r>
          </w:p>
        </w:tc>
      </w:tr>
      <w:tr w:rsidR="00EF7D63" w:rsidTr="000D0B3D">
        <w:tc>
          <w:tcPr>
            <w:tcW w:w="2337" w:type="dxa"/>
            <w:tcBorders>
              <w:bottom w:val="single" w:sz="4" w:space="0" w:color="auto"/>
            </w:tcBorders>
            <w:shd w:val="clear" w:color="auto" w:fill="auto"/>
          </w:tcPr>
          <w:p w:rsidR="00EF7D63" w:rsidRDefault="00EF7D63" w:rsidP="00EF7D63">
            <w:r>
              <w:t>Intensive Behavioural Intervention IBI</w:t>
            </w:r>
          </w:p>
          <w:p w:rsidR="002F141E" w:rsidRDefault="002F141E" w:rsidP="00EF7D63"/>
          <w:p w:rsidR="002F141E" w:rsidRDefault="002F141E" w:rsidP="00EF7D63"/>
        </w:tc>
        <w:tc>
          <w:tcPr>
            <w:tcW w:w="7013" w:type="dxa"/>
            <w:tcBorders>
              <w:bottom w:val="single" w:sz="4" w:space="0" w:color="auto"/>
            </w:tcBorders>
            <w:shd w:val="clear" w:color="auto" w:fill="auto"/>
          </w:tcPr>
          <w:p w:rsidR="00EF7D63" w:rsidRDefault="00AF7247" w:rsidP="00EF7D63">
            <w:r>
              <w:t xml:space="preserve">The term IBI is still used locally.  </w:t>
            </w:r>
            <w:r w:rsidR="00EF7D63">
              <w:t>Key characteristics of IBI include (Kinark website):​​</w:t>
            </w:r>
          </w:p>
          <w:p w:rsidR="002F141E" w:rsidRDefault="002F141E" w:rsidP="002F141E">
            <w:pPr>
              <w:pStyle w:val="ListParagraph"/>
              <w:numPr>
                <w:ilvl w:val="0"/>
                <w:numId w:val="6"/>
              </w:numPr>
              <w:tabs>
                <w:tab w:val="left" w:pos="160"/>
              </w:tabs>
              <w:ind w:left="0" w:hanging="20"/>
            </w:pPr>
            <w:r w:rsidRPr="002F141E">
              <w:t xml:space="preserve">IBI is the application of </w:t>
            </w:r>
            <w:r w:rsidR="00AF7247">
              <w:t>the science of ABA</w:t>
            </w:r>
            <w:r w:rsidRPr="002F141E">
              <w:t xml:space="preserve"> to create a program of intensive, comprehensive teaching.</w:t>
            </w:r>
          </w:p>
          <w:p w:rsidR="00EF7D63" w:rsidRDefault="00EF7D63" w:rsidP="00EF7D63">
            <w:r>
              <w:t>•intensity in both the number of hours and the pace of instruction;</w:t>
            </w:r>
          </w:p>
          <w:p w:rsidR="00EF7D63" w:rsidRDefault="00EF7D63" w:rsidP="00EF7D63">
            <w:r>
              <w:t>•systematic teaching methods based on the principles of A</w:t>
            </w:r>
            <w:r w:rsidR="002F141E">
              <w:t>pplied Behaviour Analysis (ABA)</w:t>
            </w:r>
          </w:p>
          <w:p w:rsidR="00EF7D63" w:rsidRDefault="00EF7D63" w:rsidP="00EF7D63">
            <w:r>
              <w:t xml:space="preserve">•clearly defined goals and strategies tailored to an individual child’s particular needs </w:t>
            </w:r>
            <w:r w:rsidR="002F141E">
              <w:t>(also part of ABA)</w:t>
            </w:r>
          </w:p>
          <w:p w:rsidR="00EF7D63" w:rsidRDefault="00EF7D63" w:rsidP="00EF7D63">
            <w:r>
              <w:t>•ongoing monitoring and direct evaluation of a child’s progress to ensure rapid acquisition of skills</w:t>
            </w:r>
            <w:r w:rsidR="00B42DFC">
              <w:t xml:space="preserve"> </w:t>
            </w:r>
            <w:r w:rsidR="002F141E">
              <w:t>(also part of ABA)</w:t>
            </w:r>
          </w:p>
        </w:tc>
      </w:tr>
      <w:tr w:rsidR="000D0B3D" w:rsidTr="000D0B3D">
        <w:tc>
          <w:tcPr>
            <w:tcW w:w="2337" w:type="dxa"/>
            <w:shd w:val="pct25" w:color="auto" w:fill="auto"/>
          </w:tcPr>
          <w:p w:rsidR="000D0B3D" w:rsidRPr="00006E20" w:rsidRDefault="000D0B3D" w:rsidP="00EF7D63">
            <w:pPr>
              <w:rPr>
                <w:b/>
                <w:i/>
              </w:rPr>
            </w:pPr>
            <w:r w:rsidRPr="00006E20">
              <w:rPr>
                <w:b/>
                <w:i/>
              </w:rPr>
              <w:t>Terms Used Local To Describe Funding Options</w:t>
            </w:r>
          </w:p>
        </w:tc>
        <w:tc>
          <w:tcPr>
            <w:tcW w:w="7013" w:type="dxa"/>
            <w:shd w:val="pct25" w:color="auto" w:fill="auto"/>
          </w:tcPr>
          <w:p w:rsidR="000D0B3D" w:rsidRPr="00006E20" w:rsidRDefault="000D0B3D" w:rsidP="00EF7D63">
            <w:pPr>
              <w:rPr>
                <w:i/>
              </w:rPr>
            </w:pPr>
            <w:r w:rsidRPr="00006E20">
              <w:rPr>
                <w:b/>
                <w:i/>
              </w:rPr>
              <w:t>Definition</w:t>
            </w:r>
          </w:p>
        </w:tc>
      </w:tr>
      <w:tr w:rsidR="00EF7D63" w:rsidTr="00124D2C">
        <w:tc>
          <w:tcPr>
            <w:tcW w:w="2337" w:type="dxa"/>
            <w:shd w:val="clear" w:color="auto" w:fill="auto"/>
          </w:tcPr>
          <w:p w:rsidR="00EF7D63" w:rsidRDefault="00EF7D63" w:rsidP="00EF7D63">
            <w:r>
              <w:t>Direct Funding Option (DFO)</w:t>
            </w:r>
          </w:p>
        </w:tc>
        <w:tc>
          <w:tcPr>
            <w:tcW w:w="7013" w:type="dxa"/>
            <w:shd w:val="clear" w:color="auto" w:fill="auto"/>
          </w:tcPr>
          <w:p w:rsidR="00EF7D63" w:rsidRDefault="00AF7247" w:rsidP="00EF7D63">
            <w:r>
              <w:t xml:space="preserve">In our area, </w:t>
            </w:r>
            <w:r w:rsidR="00EF7D63">
              <w:t>IBI service is provided by a private provider of the family’s selection.  Provider must be Kinark approved</w:t>
            </w:r>
            <w:r>
              <w:t>.</w:t>
            </w:r>
          </w:p>
        </w:tc>
      </w:tr>
      <w:tr w:rsidR="00EF7D63" w:rsidTr="000D0B3D">
        <w:tc>
          <w:tcPr>
            <w:tcW w:w="2337" w:type="dxa"/>
            <w:tcBorders>
              <w:bottom w:val="single" w:sz="4" w:space="0" w:color="auto"/>
            </w:tcBorders>
            <w:shd w:val="clear" w:color="auto" w:fill="auto"/>
          </w:tcPr>
          <w:p w:rsidR="00EF7D63" w:rsidRDefault="00EF7D63" w:rsidP="00EF7D63">
            <w:r>
              <w:t>Direct Service Option (DSO)</w:t>
            </w:r>
          </w:p>
        </w:tc>
        <w:tc>
          <w:tcPr>
            <w:tcW w:w="7013" w:type="dxa"/>
            <w:tcBorders>
              <w:bottom w:val="single" w:sz="4" w:space="0" w:color="auto"/>
            </w:tcBorders>
            <w:shd w:val="clear" w:color="auto" w:fill="auto"/>
          </w:tcPr>
          <w:p w:rsidR="00EF7D63" w:rsidRDefault="00AF7247" w:rsidP="00EF7D63">
            <w:r>
              <w:t xml:space="preserve">In our area, </w:t>
            </w:r>
            <w:r w:rsidR="00EF7D63">
              <w:t>IBI service is provided by Kinark or partner agency staff</w:t>
            </w:r>
            <w:r w:rsidR="000045A7">
              <w:t xml:space="preserve"> in home</w:t>
            </w:r>
            <w:r w:rsidR="0050737C">
              <w:t xml:space="preserve"> (1:1)</w:t>
            </w:r>
            <w:r w:rsidR="000045A7">
              <w:t>, in clinic</w:t>
            </w:r>
            <w:r w:rsidR="0050737C">
              <w:t xml:space="preserve"> (1:1)</w:t>
            </w:r>
            <w:r w:rsidR="000045A7">
              <w:t xml:space="preserve">, </w:t>
            </w:r>
            <w:r w:rsidR="0050737C">
              <w:t xml:space="preserve">in centre (some group instruction) </w:t>
            </w:r>
            <w:r w:rsidR="000045A7">
              <w:t>or in a transition classroom</w:t>
            </w:r>
            <w:r w:rsidR="0050737C">
              <w:t xml:space="preserve"> (mostly group instruction)</w:t>
            </w:r>
          </w:p>
        </w:tc>
      </w:tr>
      <w:tr w:rsidR="000D0B3D" w:rsidTr="000D0B3D">
        <w:tc>
          <w:tcPr>
            <w:tcW w:w="2337" w:type="dxa"/>
            <w:shd w:val="pct25" w:color="auto" w:fill="auto"/>
          </w:tcPr>
          <w:p w:rsidR="000D0B3D" w:rsidRPr="00006E20" w:rsidRDefault="000D0B3D" w:rsidP="00EF7D63">
            <w:pPr>
              <w:rPr>
                <w:i/>
              </w:rPr>
            </w:pPr>
            <w:r w:rsidRPr="00006E20">
              <w:rPr>
                <w:b/>
                <w:i/>
              </w:rPr>
              <w:t>People Who Might Work With Your Child</w:t>
            </w:r>
          </w:p>
        </w:tc>
        <w:tc>
          <w:tcPr>
            <w:tcW w:w="7013" w:type="dxa"/>
            <w:shd w:val="pct25" w:color="auto" w:fill="auto"/>
          </w:tcPr>
          <w:p w:rsidR="000D0B3D" w:rsidRPr="00006E20" w:rsidRDefault="000D0B3D" w:rsidP="00782704">
            <w:pPr>
              <w:rPr>
                <w:i/>
              </w:rPr>
            </w:pPr>
            <w:r w:rsidRPr="00006E20">
              <w:rPr>
                <w:b/>
                <w:i/>
              </w:rPr>
              <w:t>Definition</w:t>
            </w:r>
          </w:p>
        </w:tc>
      </w:tr>
      <w:tr w:rsidR="00EF7D63" w:rsidTr="006C620D">
        <w:tc>
          <w:tcPr>
            <w:tcW w:w="2337" w:type="dxa"/>
            <w:shd w:val="clear" w:color="auto" w:fill="auto"/>
          </w:tcPr>
          <w:p w:rsidR="00EF7D63" w:rsidRDefault="00EF7D63" w:rsidP="00EF7D63">
            <w:r>
              <w:t>Clinical Supervisor</w:t>
            </w:r>
          </w:p>
        </w:tc>
        <w:tc>
          <w:tcPr>
            <w:tcW w:w="7013" w:type="dxa"/>
            <w:shd w:val="clear" w:color="auto" w:fill="auto"/>
          </w:tcPr>
          <w:p w:rsidR="00EF7D63" w:rsidRDefault="00EF7D63" w:rsidP="00782704">
            <w:r>
              <w:t xml:space="preserve">Oversees a client’s IBI program and approves changes to programs.  </w:t>
            </w:r>
            <w:r w:rsidR="00782704">
              <w:t>May be</w:t>
            </w:r>
            <w:r>
              <w:t xml:space="preserve"> a Board Certified Behaviour Analyst</w:t>
            </w:r>
            <w:r w:rsidR="00782704">
              <w:t xml:space="preserve"> (BCBA) or a regulated health professional (e.g., psychologist).</w:t>
            </w:r>
            <w:r w:rsidR="00AF7247">
              <w:t xml:space="preserve">  Board certified behaviour analysts will have the designation BCBA following their names.   This means that they have completed a graduate course of study,  a written exam and supervised work in this field.   They must participate in continuing education and follow ethics standards.</w:t>
            </w:r>
          </w:p>
        </w:tc>
      </w:tr>
      <w:tr w:rsidR="00EF7D63" w:rsidTr="006C620D">
        <w:tc>
          <w:tcPr>
            <w:tcW w:w="2337" w:type="dxa"/>
            <w:shd w:val="clear" w:color="auto" w:fill="auto"/>
          </w:tcPr>
          <w:p w:rsidR="00EF7D63" w:rsidRDefault="00EF7D63" w:rsidP="00EF7D63">
            <w:r>
              <w:t>Senior/Lead Therapist</w:t>
            </w:r>
          </w:p>
        </w:tc>
        <w:tc>
          <w:tcPr>
            <w:tcW w:w="7013" w:type="dxa"/>
            <w:shd w:val="clear" w:color="auto" w:fill="auto"/>
          </w:tcPr>
          <w:p w:rsidR="00EF7D63" w:rsidRDefault="00EF7D63" w:rsidP="00EF7D63">
            <w:r>
              <w:t>Supervis</w:t>
            </w:r>
            <w:r w:rsidR="0050737C">
              <w:t xml:space="preserve">es </w:t>
            </w:r>
            <w:r>
              <w:t>the instructor therapists and a client’s IBI program</w:t>
            </w:r>
          </w:p>
        </w:tc>
      </w:tr>
      <w:tr w:rsidR="00EF7D63" w:rsidTr="000D0B3D">
        <w:tc>
          <w:tcPr>
            <w:tcW w:w="2337" w:type="dxa"/>
            <w:tcBorders>
              <w:bottom w:val="single" w:sz="4" w:space="0" w:color="auto"/>
            </w:tcBorders>
            <w:shd w:val="clear" w:color="auto" w:fill="auto"/>
          </w:tcPr>
          <w:p w:rsidR="00EF7D63" w:rsidRDefault="00EF7D63" w:rsidP="00EF7D63">
            <w:r>
              <w:t>Instructor Therapist</w:t>
            </w:r>
          </w:p>
          <w:p w:rsidR="000D0B3D" w:rsidRDefault="000D0B3D" w:rsidP="00EF7D63"/>
          <w:p w:rsidR="000D0B3D" w:rsidRDefault="000D0B3D" w:rsidP="00EF7D63"/>
          <w:p w:rsidR="000D0B3D" w:rsidRDefault="000D0B3D" w:rsidP="00EF7D63"/>
          <w:p w:rsidR="000D0B3D" w:rsidRDefault="000D0B3D" w:rsidP="00EF7D63"/>
          <w:p w:rsidR="000D0B3D" w:rsidRDefault="000D0B3D" w:rsidP="00EF7D63"/>
        </w:tc>
        <w:tc>
          <w:tcPr>
            <w:tcW w:w="7013" w:type="dxa"/>
            <w:tcBorders>
              <w:bottom w:val="single" w:sz="4" w:space="0" w:color="auto"/>
            </w:tcBorders>
            <w:shd w:val="clear" w:color="auto" w:fill="auto"/>
          </w:tcPr>
          <w:p w:rsidR="00EF7D63" w:rsidRDefault="00EF7D63" w:rsidP="000D0B3D">
            <w:r>
              <w:t xml:space="preserve">Works </w:t>
            </w:r>
            <w:r w:rsidR="000D0B3D">
              <w:t>directly</w:t>
            </w:r>
            <w:r>
              <w:t xml:space="preserve"> with </w:t>
            </w:r>
            <w:r w:rsidR="000D0B3D">
              <w:t>clients</w:t>
            </w:r>
            <w:r>
              <w:t>, implementing programs and collecting data</w:t>
            </w:r>
          </w:p>
          <w:p w:rsidR="000D0B3D" w:rsidRDefault="000D0B3D" w:rsidP="000D0B3D"/>
        </w:tc>
      </w:tr>
      <w:tr w:rsidR="000D0B3D" w:rsidTr="000D0B3D">
        <w:tc>
          <w:tcPr>
            <w:tcW w:w="2337" w:type="dxa"/>
            <w:shd w:val="pct25" w:color="auto" w:fill="auto"/>
          </w:tcPr>
          <w:p w:rsidR="000D0B3D" w:rsidRPr="00006E20" w:rsidRDefault="000D0B3D" w:rsidP="00EF7D63">
            <w:pPr>
              <w:rPr>
                <w:i/>
              </w:rPr>
            </w:pPr>
            <w:r w:rsidRPr="00006E20">
              <w:rPr>
                <w:b/>
                <w:i/>
              </w:rPr>
              <w:lastRenderedPageBreak/>
              <w:t>trategies Used in Teaching</w:t>
            </w:r>
          </w:p>
        </w:tc>
        <w:tc>
          <w:tcPr>
            <w:tcW w:w="7013" w:type="dxa"/>
            <w:shd w:val="pct25" w:color="auto" w:fill="auto"/>
          </w:tcPr>
          <w:p w:rsidR="000D0B3D" w:rsidRPr="00006E20" w:rsidRDefault="000D0B3D" w:rsidP="00CB4D56">
            <w:pPr>
              <w:rPr>
                <w:i/>
              </w:rPr>
            </w:pPr>
            <w:r w:rsidRPr="00006E20">
              <w:rPr>
                <w:b/>
                <w:i/>
              </w:rPr>
              <w:t>Definition</w:t>
            </w:r>
          </w:p>
        </w:tc>
      </w:tr>
      <w:tr w:rsidR="000D0B3D" w:rsidTr="000D0B3D">
        <w:tc>
          <w:tcPr>
            <w:tcW w:w="2337" w:type="dxa"/>
            <w:tcBorders>
              <w:bottom w:val="single" w:sz="4" w:space="0" w:color="auto"/>
            </w:tcBorders>
            <w:shd w:val="clear" w:color="auto" w:fill="auto"/>
          </w:tcPr>
          <w:p w:rsidR="000D0B3D" w:rsidRDefault="000D0B3D" w:rsidP="00EF7D63">
            <w:r>
              <w:t>Prompt levels</w:t>
            </w:r>
          </w:p>
        </w:tc>
        <w:tc>
          <w:tcPr>
            <w:tcW w:w="7013" w:type="dxa"/>
            <w:tcBorders>
              <w:bottom w:val="single" w:sz="4" w:space="0" w:color="auto"/>
            </w:tcBorders>
            <w:shd w:val="clear" w:color="auto" w:fill="auto"/>
          </w:tcPr>
          <w:p w:rsidR="000D0B3D" w:rsidRDefault="000D0B3D" w:rsidP="00CB4D56">
            <w:r>
              <w:t>Full physical prompt, partial physical prompt, gesture prompt (e.g., point), full verbal prompt (e.g., tell child what to do/say), partial verbal prompt (e.g., tell the child part of what they need to do/say), time delay (e.g., wait)</w:t>
            </w:r>
          </w:p>
        </w:tc>
      </w:tr>
      <w:tr w:rsidR="000D0B3D" w:rsidTr="000D0B3D">
        <w:tc>
          <w:tcPr>
            <w:tcW w:w="2337" w:type="dxa"/>
            <w:tcBorders>
              <w:bottom w:val="single" w:sz="4" w:space="0" w:color="auto"/>
            </w:tcBorders>
            <w:shd w:val="clear" w:color="auto" w:fill="auto"/>
          </w:tcPr>
          <w:p w:rsidR="000D0B3D" w:rsidRDefault="000D0B3D" w:rsidP="00EF7D63">
            <w:r>
              <w:t>Errorless Teaching/Learning</w:t>
            </w:r>
          </w:p>
        </w:tc>
        <w:tc>
          <w:tcPr>
            <w:tcW w:w="7013" w:type="dxa"/>
            <w:tcBorders>
              <w:bottom w:val="single" w:sz="4" w:space="0" w:color="auto"/>
            </w:tcBorders>
            <w:shd w:val="clear" w:color="auto" w:fill="auto"/>
          </w:tcPr>
          <w:p w:rsidR="000D0B3D" w:rsidRDefault="000D0B3D" w:rsidP="00006E20">
            <w:r>
              <w:t>This is the procedure</w:t>
            </w:r>
            <w:r w:rsidR="00006E20">
              <w:t xml:space="preserve"> of teaching a skill with enough prompts to allow for success and no error.  </w:t>
            </w:r>
            <w:r>
              <w:t xml:space="preserve"> It is typically</w:t>
            </w:r>
            <w:r w:rsidR="003A43BC">
              <w:t xml:space="preserve"> used when teaching new skills and prompts are faded as children move toward increased mastery of those skills. </w:t>
            </w:r>
            <w:r w:rsidR="00006E20">
              <w:t xml:space="preserve"> For example, an adult takes child’s hand to point to a  “cookie” picture to help the child learn to ask for it.  </w:t>
            </w:r>
          </w:p>
        </w:tc>
      </w:tr>
      <w:tr w:rsidR="00006E20" w:rsidTr="00006E20">
        <w:trPr>
          <w:trHeight w:val="1133"/>
        </w:trPr>
        <w:tc>
          <w:tcPr>
            <w:tcW w:w="2337" w:type="dxa"/>
          </w:tcPr>
          <w:p w:rsidR="00006E20" w:rsidRDefault="00006E20" w:rsidP="00BB6609">
            <w:r>
              <w:t>Reinforcement</w:t>
            </w:r>
          </w:p>
        </w:tc>
        <w:tc>
          <w:tcPr>
            <w:tcW w:w="7013" w:type="dxa"/>
          </w:tcPr>
          <w:p w:rsidR="00006E20" w:rsidRDefault="00006E20" w:rsidP="00461BFE">
            <w:r>
              <w:t>A therapist often begins</w:t>
            </w:r>
            <w:r w:rsidRPr="00EF0435">
              <w:t xml:space="preserve"> teaching skills with a </w:t>
            </w:r>
            <w:r>
              <w:t xml:space="preserve">dense schedule of reinforcement </w:t>
            </w:r>
            <w:r w:rsidR="00461BFE">
              <w:t xml:space="preserve"> (i.e., the child is reinforced very often at pre-determined intervals) </w:t>
            </w:r>
            <w:r>
              <w:t>and once the skill is mastered, the reinforcement schedule is “thinned”</w:t>
            </w:r>
            <w:r w:rsidRPr="00EF0435">
              <w:t xml:space="preserve"> </w:t>
            </w:r>
            <w:r w:rsidR="00461BFE">
              <w:t xml:space="preserve">(i.e., </w:t>
            </w:r>
            <w:r>
              <w:t xml:space="preserve"> </w:t>
            </w:r>
            <w:r w:rsidRPr="00EF0435">
              <w:t>less reinforcement</w:t>
            </w:r>
            <w:r w:rsidR="00461BFE">
              <w:t xml:space="preserve"> is offered less often but this is decreased slowly</w:t>
            </w:r>
            <w:r w:rsidRPr="00EF0435">
              <w:t>,</w:t>
            </w:r>
            <w:r w:rsidR="00461BFE">
              <w:t xml:space="preserve"> or reinforcement is made</w:t>
            </w:r>
            <w:r w:rsidRPr="00EF0435">
              <w:t xml:space="preserve"> more natural). </w:t>
            </w:r>
          </w:p>
        </w:tc>
      </w:tr>
      <w:tr w:rsidR="00006E20" w:rsidTr="00006E20">
        <w:tc>
          <w:tcPr>
            <w:tcW w:w="2337" w:type="dxa"/>
          </w:tcPr>
          <w:p w:rsidR="00006E20" w:rsidRDefault="00006E20" w:rsidP="00BB6609">
            <w:r>
              <w:t>Extinction</w:t>
            </w:r>
          </w:p>
        </w:tc>
        <w:tc>
          <w:tcPr>
            <w:tcW w:w="7013" w:type="dxa"/>
          </w:tcPr>
          <w:p w:rsidR="00006E20" w:rsidRDefault="00006E20" w:rsidP="00461BFE">
            <w:r>
              <w:t>Not providing reinf</w:t>
            </w:r>
            <w:r w:rsidR="00461BFE">
              <w:t>orcement for a behaviour that has been reinforced in the past in order to stop the behaviour from happening.  Fo</w:t>
            </w:r>
            <w:r w:rsidR="00D71972">
              <w:t xml:space="preserve">r example, a child who </w:t>
            </w:r>
            <w:r w:rsidR="00D71972" w:rsidRPr="00BE59B8">
              <w:t>screamed</w:t>
            </w:r>
            <w:r w:rsidR="00461BFE">
              <w:t xml:space="preserve"> every time a new toy was presented  and got a parent’s attention every time  would no longer receive a response when she screame</w:t>
            </w:r>
            <w:r w:rsidR="00D71972" w:rsidRPr="00BE59B8">
              <w:t>d.</w:t>
            </w:r>
          </w:p>
        </w:tc>
      </w:tr>
      <w:tr w:rsidR="00006E20" w:rsidTr="00006E20">
        <w:tc>
          <w:tcPr>
            <w:tcW w:w="2337" w:type="dxa"/>
          </w:tcPr>
          <w:p w:rsidR="00006E20" w:rsidRDefault="00006E20" w:rsidP="00BB6609">
            <w:r w:rsidRPr="00B23F09">
              <w:t>Functional Communication training</w:t>
            </w:r>
            <w:r>
              <w:t xml:space="preserve"> (FCT)</w:t>
            </w:r>
          </w:p>
        </w:tc>
        <w:tc>
          <w:tcPr>
            <w:tcW w:w="7013" w:type="dxa"/>
          </w:tcPr>
          <w:p w:rsidR="00006E20" w:rsidRDefault="00461BFE" w:rsidP="00461BFE">
            <w:r>
              <w:t xml:space="preserve">This process involves figuring out </w:t>
            </w:r>
            <w:r w:rsidR="00006E20" w:rsidRPr="00B23F09">
              <w:t>the function of a behaviour (</w:t>
            </w:r>
            <w:r w:rsidR="00006E20">
              <w:t xml:space="preserve">i.e., </w:t>
            </w:r>
            <w:r w:rsidR="00006E20" w:rsidRPr="00B23F09">
              <w:t>why someone is doing something</w:t>
            </w:r>
            <w:r>
              <w:t xml:space="preserve">).  Often this is due to a need to </w:t>
            </w:r>
            <w:r w:rsidR="00006E20">
              <w:t xml:space="preserve">escape, </w:t>
            </w:r>
            <w:r>
              <w:t xml:space="preserve">an attempt to get </w:t>
            </w:r>
            <w:r w:rsidR="00006E20">
              <w:t xml:space="preserve">attention, </w:t>
            </w:r>
            <w:r>
              <w:t xml:space="preserve"> meet </w:t>
            </w:r>
            <w:r w:rsidR="00006E20">
              <w:t>sensory</w:t>
            </w:r>
            <w:r>
              <w:t xml:space="preserve"> needs </w:t>
            </w:r>
            <w:r w:rsidR="00006E20">
              <w:t xml:space="preserve">, </w:t>
            </w:r>
            <w:r>
              <w:t xml:space="preserve"> or get </w:t>
            </w:r>
            <w:r w:rsidR="00006E20">
              <w:t xml:space="preserve">access to </w:t>
            </w:r>
            <w:r>
              <w:t xml:space="preserve">particular objects.  A functional communication replacement is taught to replace </w:t>
            </w:r>
            <w:r w:rsidR="00006E20" w:rsidRPr="00B23F09">
              <w:t>the unwanted behaviour (</w:t>
            </w:r>
            <w:r w:rsidR="00006E20">
              <w:t xml:space="preserve">e.g., </w:t>
            </w:r>
            <w:r w:rsidR="00006E20" w:rsidRPr="00B23F09">
              <w:t>asking for the item, asking for a break, requesting attention).</w:t>
            </w:r>
          </w:p>
        </w:tc>
      </w:tr>
    </w:tbl>
    <w:p w:rsidR="003454EB" w:rsidRDefault="00610CFF"/>
    <w:tbl>
      <w:tblPr>
        <w:tblStyle w:val="TableGrid"/>
        <w:tblW w:w="0" w:type="auto"/>
        <w:tblLayout w:type="fixed"/>
        <w:tblLook w:val="04A0" w:firstRow="1" w:lastRow="0" w:firstColumn="1" w:lastColumn="0" w:noHBand="0" w:noVBand="1"/>
      </w:tblPr>
      <w:tblGrid>
        <w:gridCol w:w="1809"/>
        <w:gridCol w:w="528"/>
        <w:gridCol w:w="1457"/>
        <w:gridCol w:w="2835"/>
        <w:gridCol w:w="2721"/>
        <w:gridCol w:w="80"/>
      </w:tblGrid>
      <w:tr w:rsidR="00006E20" w:rsidRPr="00006E20" w:rsidTr="006F770F">
        <w:trPr>
          <w:gridAfter w:val="1"/>
          <w:wAfter w:w="80" w:type="dxa"/>
          <w:trHeight w:val="1883"/>
        </w:trPr>
        <w:tc>
          <w:tcPr>
            <w:tcW w:w="2337" w:type="dxa"/>
            <w:gridSpan w:val="2"/>
            <w:shd w:val="pct25" w:color="auto" w:fill="auto"/>
          </w:tcPr>
          <w:p w:rsidR="00006E20" w:rsidRPr="00006E20" w:rsidRDefault="00006E20" w:rsidP="00BB6609">
            <w:pPr>
              <w:rPr>
                <w:b/>
                <w:i/>
              </w:rPr>
            </w:pPr>
            <w:r w:rsidRPr="00006E20">
              <w:rPr>
                <w:b/>
                <w:i/>
              </w:rPr>
              <w:t>Tools that May be Used to Assess Your Child</w:t>
            </w:r>
          </w:p>
        </w:tc>
        <w:tc>
          <w:tcPr>
            <w:tcW w:w="7013" w:type="dxa"/>
            <w:gridSpan w:val="3"/>
            <w:shd w:val="pct25" w:color="auto" w:fill="auto"/>
          </w:tcPr>
          <w:p w:rsidR="00006E20" w:rsidRPr="00006E20" w:rsidRDefault="00006E20" w:rsidP="00BB6609">
            <w:pPr>
              <w:rPr>
                <w:b/>
                <w:i/>
              </w:rPr>
            </w:pPr>
            <w:r w:rsidRPr="00006E20">
              <w:rPr>
                <w:b/>
                <w:i/>
              </w:rPr>
              <w:t>Description</w:t>
            </w:r>
          </w:p>
        </w:tc>
      </w:tr>
      <w:tr w:rsidR="00006E20" w:rsidTr="006F770F">
        <w:trPr>
          <w:gridAfter w:val="1"/>
          <w:wAfter w:w="80" w:type="dxa"/>
          <w:trHeight w:val="1502"/>
        </w:trPr>
        <w:tc>
          <w:tcPr>
            <w:tcW w:w="2337" w:type="dxa"/>
            <w:gridSpan w:val="2"/>
            <w:shd w:val="clear" w:color="auto" w:fill="auto"/>
          </w:tcPr>
          <w:p w:rsidR="00006E20" w:rsidRDefault="00006E20" w:rsidP="00BB6609">
            <w:r w:rsidRPr="00903CAA">
              <w:t>The Verbal Behavior Milestones Assessment and Placement Program</w:t>
            </w:r>
            <w:r>
              <w:t xml:space="preserve"> (VB-MAPP)</w:t>
            </w:r>
          </w:p>
        </w:tc>
        <w:tc>
          <w:tcPr>
            <w:tcW w:w="7013" w:type="dxa"/>
            <w:gridSpan w:val="3"/>
            <w:shd w:val="clear" w:color="auto" w:fill="auto"/>
          </w:tcPr>
          <w:p w:rsidR="00006E20" w:rsidRDefault="00006E20" w:rsidP="00BB6609">
            <w:r>
              <w:t>A criterion-reference assessment tool, curriculum guide and tracking system that was based on work by B.F. Skinner in 1957.  It is designed for children with ASD and others who demonstrate language delays.  It assesses developmental milestones that are seen in typically developing children from 0-48 months</w:t>
            </w:r>
          </w:p>
        </w:tc>
      </w:tr>
      <w:tr w:rsidR="00006E20" w:rsidTr="006F770F">
        <w:trPr>
          <w:gridAfter w:val="1"/>
          <w:wAfter w:w="80" w:type="dxa"/>
          <w:trHeight w:val="1882"/>
        </w:trPr>
        <w:tc>
          <w:tcPr>
            <w:tcW w:w="2337" w:type="dxa"/>
            <w:gridSpan w:val="2"/>
            <w:shd w:val="clear" w:color="auto" w:fill="auto"/>
          </w:tcPr>
          <w:p w:rsidR="00006E20" w:rsidRPr="00903CAA" w:rsidRDefault="00006E20" w:rsidP="00BB6609">
            <w:r w:rsidRPr="00903CAA">
              <w:t>The Assessment of Basic Language and Learning Skills - Revised (ABLLS-R</w:t>
            </w:r>
            <w:r>
              <w:t>)</w:t>
            </w:r>
          </w:p>
        </w:tc>
        <w:tc>
          <w:tcPr>
            <w:tcW w:w="7013" w:type="dxa"/>
            <w:gridSpan w:val="3"/>
            <w:shd w:val="clear" w:color="auto" w:fill="auto"/>
          </w:tcPr>
          <w:p w:rsidR="00006E20" w:rsidRDefault="00006E20" w:rsidP="00BB6609">
            <w:r>
              <w:t xml:space="preserve">Another tool that includes </w:t>
            </w:r>
            <w:r w:rsidRPr="00D82812">
              <w:t xml:space="preserve">544 skills from 25 skill areas including language, social interaction, self-help, academic and motor skills that most typically developing children acquire prior to entering kindergarten. </w:t>
            </w:r>
            <w:r>
              <w:t xml:space="preserve"> These items are organized from easier to more difficult/complex tasks.  It also uses the behavioural analysis of language developed by Skinner to examine expressive language skills.  His 1957 book is called “Verbal Behaviour” </w:t>
            </w:r>
            <w:r w:rsidRPr="00D82812">
              <w:t xml:space="preserve">. </w:t>
            </w:r>
          </w:p>
        </w:tc>
      </w:tr>
      <w:tr w:rsidR="003A43BC" w:rsidTr="006F770F">
        <w:tc>
          <w:tcPr>
            <w:tcW w:w="9430" w:type="dxa"/>
            <w:gridSpan w:val="6"/>
            <w:shd w:val="clear" w:color="auto" w:fill="D9D9D9" w:themeFill="background1" w:themeFillShade="D9"/>
          </w:tcPr>
          <w:p w:rsidR="003A43BC" w:rsidRPr="007D2371" w:rsidRDefault="003A43BC" w:rsidP="00006E20">
            <w:pPr>
              <w:rPr>
                <w:b/>
              </w:rPr>
            </w:pPr>
            <w:r>
              <w:rPr>
                <w:b/>
              </w:rPr>
              <w:lastRenderedPageBreak/>
              <w:t>If you are working with a Speech-</w:t>
            </w:r>
            <w:r w:rsidR="00D71972" w:rsidRPr="00BE59B8">
              <w:rPr>
                <w:b/>
              </w:rPr>
              <w:t>Language</w:t>
            </w:r>
            <w:r>
              <w:rPr>
                <w:b/>
              </w:rPr>
              <w:t xml:space="preserve"> Pathologist and an ABA team, you may hear different terms used to talk about language and interaction.  The following chart will help you to participate in conversations with your team as it explains the different terms used for the same thing.   The underlying difference is that ABA views language as a behaviou</w:t>
            </w:r>
            <w:r w:rsidR="00BE59B8">
              <w:rPr>
                <w:b/>
              </w:rPr>
              <w:t xml:space="preserve">r just like any other behaviour, </w:t>
            </w:r>
            <w:r>
              <w:rPr>
                <w:b/>
              </w:rPr>
              <w:t xml:space="preserve"> but the field of speech-language pathology looks at language development and behaviour as linked </w:t>
            </w:r>
            <w:r w:rsidR="00D71972" w:rsidRPr="00BE59B8">
              <w:rPr>
                <w:b/>
              </w:rPr>
              <w:t>but</w:t>
            </w:r>
            <w:r>
              <w:rPr>
                <w:b/>
              </w:rPr>
              <w:t xml:space="preserve"> separate</w:t>
            </w:r>
            <w:r w:rsidR="00BE59B8">
              <w:rPr>
                <w:b/>
              </w:rPr>
              <w:t>.</w:t>
            </w:r>
          </w:p>
        </w:tc>
      </w:tr>
      <w:tr w:rsidR="003A43BC" w:rsidTr="006F770F">
        <w:tc>
          <w:tcPr>
            <w:tcW w:w="1809" w:type="dxa"/>
            <w:shd w:val="clear" w:color="auto" w:fill="D9D9D9" w:themeFill="background1" w:themeFillShade="D9"/>
          </w:tcPr>
          <w:p w:rsidR="003A43BC" w:rsidRPr="00006E20" w:rsidRDefault="003A43BC" w:rsidP="00BB6609">
            <w:pPr>
              <w:rPr>
                <w:b/>
                <w:i/>
              </w:rPr>
            </w:pPr>
            <w:r w:rsidRPr="00006E20">
              <w:rPr>
                <w:b/>
                <w:i/>
              </w:rPr>
              <w:t>ABA Terminology</w:t>
            </w:r>
          </w:p>
        </w:tc>
        <w:tc>
          <w:tcPr>
            <w:tcW w:w="1985" w:type="dxa"/>
            <w:gridSpan w:val="2"/>
            <w:shd w:val="clear" w:color="auto" w:fill="D9D9D9" w:themeFill="background1" w:themeFillShade="D9"/>
          </w:tcPr>
          <w:p w:rsidR="003A43BC" w:rsidRPr="00006E20" w:rsidRDefault="003A43BC" w:rsidP="00BB6609">
            <w:pPr>
              <w:rPr>
                <w:b/>
                <w:i/>
              </w:rPr>
            </w:pPr>
            <w:r w:rsidRPr="00006E20">
              <w:rPr>
                <w:b/>
                <w:i/>
              </w:rPr>
              <w:t>SLP Terminology</w:t>
            </w:r>
          </w:p>
        </w:tc>
        <w:tc>
          <w:tcPr>
            <w:tcW w:w="2835" w:type="dxa"/>
            <w:shd w:val="clear" w:color="auto" w:fill="D9D9D9" w:themeFill="background1" w:themeFillShade="D9"/>
          </w:tcPr>
          <w:p w:rsidR="003A43BC" w:rsidRPr="00006E20" w:rsidRDefault="003A43BC" w:rsidP="00BB6609">
            <w:pPr>
              <w:rPr>
                <w:b/>
                <w:i/>
              </w:rPr>
            </w:pPr>
            <w:r w:rsidRPr="00006E20">
              <w:rPr>
                <w:b/>
                <w:i/>
              </w:rPr>
              <w:t>What it means</w:t>
            </w:r>
          </w:p>
        </w:tc>
        <w:tc>
          <w:tcPr>
            <w:tcW w:w="2801" w:type="dxa"/>
            <w:gridSpan w:val="2"/>
            <w:shd w:val="clear" w:color="auto" w:fill="D9D9D9" w:themeFill="background1" w:themeFillShade="D9"/>
          </w:tcPr>
          <w:p w:rsidR="003A43BC" w:rsidRPr="00006E20" w:rsidRDefault="003A43BC" w:rsidP="00BB6609">
            <w:pPr>
              <w:rPr>
                <w:b/>
                <w:i/>
              </w:rPr>
            </w:pPr>
            <w:r w:rsidRPr="00006E20">
              <w:rPr>
                <w:b/>
                <w:i/>
              </w:rPr>
              <w:t>Example</w:t>
            </w:r>
          </w:p>
        </w:tc>
      </w:tr>
      <w:tr w:rsidR="003A43BC" w:rsidTr="006F770F">
        <w:tc>
          <w:tcPr>
            <w:tcW w:w="1809" w:type="dxa"/>
          </w:tcPr>
          <w:p w:rsidR="003A43BC" w:rsidRDefault="003A43BC" w:rsidP="00BB6609">
            <w:r>
              <w:t>Verbal operants</w:t>
            </w:r>
          </w:p>
        </w:tc>
        <w:tc>
          <w:tcPr>
            <w:tcW w:w="1985" w:type="dxa"/>
            <w:gridSpan w:val="2"/>
          </w:tcPr>
          <w:p w:rsidR="003A43BC" w:rsidRDefault="003A43BC" w:rsidP="00BB6609">
            <w:r>
              <w:t>Functions of communication  (reasons for communicating)</w:t>
            </w:r>
          </w:p>
        </w:tc>
        <w:tc>
          <w:tcPr>
            <w:tcW w:w="2835" w:type="dxa"/>
          </w:tcPr>
          <w:p w:rsidR="003A43BC" w:rsidRDefault="003A43BC" w:rsidP="00BB6609"/>
        </w:tc>
        <w:tc>
          <w:tcPr>
            <w:tcW w:w="2801" w:type="dxa"/>
            <w:gridSpan w:val="2"/>
          </w:tcPr>
          <w:p w:rsidR="003A43BC" w:rsidRDefault="003A43BC" w:rsidP="00BB6609">
            <w:pPr>
              <w:pStyle w:val="ListParagraph"/>
              <w:numPr>
                <w:ilvl w:val="0"/>
                <w:numId w:val="1"/>
              </w:numPr>
              <w:ind w:left="345"/>
            </w:pPr>
            <w:r>
              <w:t>Mand, tact, intraverbal, echoic, listener response, textual</w:t>
            </w:r>
          </w:p>
        </w:tc>
      </w:tr>
      <w:tr w:rsidR="003A43BC" w:rsidTr="006F770F">
        <w:tc>
          <w:tcPr>
            <w:tcW w:w="1809" w:type="dxa"/>
          </w:tcPr>
          <w:p w:rsidR="003A43BC" w:rsidRDefault="003A43BC" w:rsidP="00BB6609">
            <w:r>
              <w:t>Mand</w:t>
            </w:r>
          </w:p>
          <w:p w:rsidR="003A43BC" w:rsidRDefault="003A43BC" w:rsidP="00BB6609"/>
          <w:p w:rsidR="003A43BC" w:rsidRDefault="003A43BC" w:rsidP="00BB6609"/>
        </w:tc>
        <w:tc>
          <w:tcPr>
            <w:tcW w:w="1985" w:type="dxa"/>
            <w:gridSpan w:val="2"/>
          </w:tcPr>
          <w:p w:rsidR="003A43BC" w:rsidRDefault="003A43BC" w:rsidP="00BB6609">
            <w:r>
              <w:t>Request</w:t>
            </w:r>
          </w:p>
        </w:tc>
        <w:tc>
          <w:tcPr>
            <w:tcW w:w="2835" w:type="dxa"/>
          </w:tcPr>
          <w:p w:rsidR="003A43BC" w:rsidRDefault="003A43BC" w:rsidP="00BB6609">
            <w:r>
              <w:t>De</w:t>
            </w:r>
            <w:r w:rsidRPr="00B24C1D">
              <w:rPr>
                <w:i/>
              </w:rPr>
              <w:t>mand</w:t>
            </w:r>
            <w:r>
              <w:t>ing, asking to receive or avoid something</w:t>
            </w:r>
          </w:p>
          <w:p w:rsidR="003A43BC" w:rsidRDefault="003A43BC" w:rsidP="00BB6609"/>
          <w:p w:rsidR="003A43BC" w:rsidRDefault="003A43BC" w:rsidP="00BB6609">
            <w:r>
              <w:t>Only operant</w:t>
            </w:r>
            <w:r w:rsidR="00006E20">
              <w:t xml:space="preserve"> (reason for communicating) </w:t>
            </w:r>
            <w:r>
              <w:t xml:space="preserve"> that </w:t>
            </w:r>
            <w:r w:rsidRPr="002163CD">
              <w:rPr>
                <w:i/>
              </w:rPr>
              <w:t>directly</w:t>
            </w:r>
            <w:r>
              <w:t xml:space="preserve"> benefits the child, therefore often taught first.</w:t>
            </w:r>
          </w:p>
        </w:tc>
        <w:tc>
          <w:tcPr>
            <w:tcW w:w="2801" w:type="dxa"/>
            <w:gridSpan w:val="2"/>
          </w:tcPr>
          <w:p w:rsidR="003A43BC" w:rsidRDefault="003A43BC" w:rsidP="00BB6609">
            <w:pPr>
              <w:pStyle w:val="ListParagraph"/>
              <w:numPr>
                <w:ilvl w:val="0"/>
                <w:numId w:val="1"/>
              </w:numPr>
              <w:ind w:left="345"/>
            </w:pPr>
            <w:r>
              <w:t>Child wants a cookie and says “cookie”.</w:t>
            </w:r>
          </w:p>
          <w:p w:rsidR="003A43BC" w:rsidRDefault="003A43BC" w:rsidP="00BB6609">
            <w:pPr>
              <w:pStyle w:val="ListParagraph"/>
              <w:numPr>
                <w:ilvl w:val="0"/>
                <w:numId w:val="1"/>
              </w:numPr>
              <w:ind w:left="345"/>
            </w:pPr>
            <w:r>
              <w:t>Child wants a cookie and points to related picture.</w:t>
            </w:r>
          </w:p>
        </w:tc>
      </w:tr>
      <w:tr w:rsidR="003A43BC" w:rsidTr="006F770F">
        <w:tc>
          <w:tcPr>
            <w:tcW w:w="1809" w:type="dxa"/>
          </w:tcPr>
          <w:p w:rsidR="003A43BC" w:rsidRDefault="003A43BC" w:rsidP="00BB6609">
            <w:r>
              <w:t>Tact</w:t>
            </w:r>
          </w:p>
        </w:tc>
        <w:tc>
          <w:tcPr>
            <w:tcW w:w="1985" w:type="dxa"/>
            <w:gridSpan w:val="2"/>
          </w:tcPr>
          <w:p w:rsidR="003A43BC" w:rsidRDefault="003A43BC" w:rsidP="00BB6609">
            <w:r>
              <w:t>Label</w:t>
            </w:r>
          </w:p>
        </w:tc>
        <w:tc>
          <w:tcPr>
            <w:tcW w:w="2835" w:type="dxa"/>
          </w:tcPr>
          <w:p w:rsidR="003A43BC" w:rsidRDefault="003A43BC" w:rsidP="00006E20">
            <w:r>
              <w:t>Saying the name of an item/action/descriptor etc. with the item/experience physically present</w:t>
            </w:r>
            <w:r w:rsidR="00006E20">
              <w:t xml:space="preserve"> </w:t>
            </w:r>
          </w:p>
        </w:tc>
        <w:tc>
          <w:tcPr>
            <w:tcW w:w="2801" w:type="dxa"/>
            <w:gridSpan w:val="2"/>
          </w:tcPr>
          <w:p w:rsidR="003A43BC" w:rsidRDefault="003A43BC" w:rsidP="00BB6609">
            <w:pPr>
              <w:pStyle w:val="ListParagraph"/>
              <w:numPr>
                <w:ilvl w:val="0"/>
                <w:numId w:val="2"/>
              </w:numPr>
              <w:ind w:left="342"/>
            </w:pPr>
            <w:r>
              <w:t>Child sees a picture of a cookie and says “cookie”.</w:t>
            </w:r>
          </w:p>
          <w:p w:rsidR="003A43BC" w:rsidRDefault="003A43BC" w:rsidP="00BB6609">
            <w:pPr>
              <w:pStyle w:val="ListParagraph"/>
              <w:numPr>
                <w:ilvl w:val="0"/>
                <w:numId w:val="2"/>
              </w:numPr>
              <w:ind w:left="342"/>
            </w:pPr>
            <w:r>
              <w:t>Child smells cookies baking and says “cookie”.</w:t>
            </w:r>
          </w:p>
          <w:p w:rsidR="003A43BC" w:rsidRDefault="003A43BC" w:rsidP="00BB6609">
            <w:pPr>
              <w:pStyle w:val="ListParagraph"/>
              <w:numPr>
                <w:ilvl w:val="0"/>
                <w:numId w:val="2"/>
              </w:numPr>
              <w:ind w:left="342"/>
            </w:pPr>
            <w:r>
              <w:t>Child answers “What is this?” with “cookie”</w:t>
            </w:r>
          </w:p>
        </w:tc>
      </w:tr>
      <w:tr w:rsidR="003A43BC" w:rsidTr="006F770F">
        <w:tc>
          <w:tcPr>
            <w:tcW w:w="1809" w:type="dxa"/>
          </w:tcPr>
          <w:p w:rsidR="003A43BC" w:rsidRDefault="003A43BC" w:rsidP="00BB6609">
            <w:r>
              <w:t>Intraverbal</w:t>
            </w:r>
          </w:p>
        </w:tc>
        <w:tc>
          <w:tcPr>
            <w:tcW w:w="1985" w:type="dxa"/>
            <w:gridSpan w:val="2"/>
          </w:tcPr>
          <w:p w:rsidR="003A43BC" w:rsidRDefault="003A43BC" w:rsidP="00006E20">
            <w:pPr>
              <w:pStyle w:val="ListParagraph"/>
              <w:numPr>
                <w:ilvl w:val="0"/>
                <w:numId w:val="7"/>
              </w:numPr>
            </w:pPr>
            <w:r>
              <w:t>Answering a question</w:t>
            </w:r>
          </w:p>
          <w:p w:rsidR="003A43BC" w:rsidRDefault="00006E20" w:rsidP="00006E20">
            <w:pPr>
              <w:pStyle w:val="ListParagraph"/>
              <w:numPr>
                <w:ilvl w:val="0"/>
                <w:numId w:val="7"/>
              </w:numPr>
            </w:pPr>
            <w:r>
              <w:t>Spoken fill-in-the-blank</w:t>
            </w:r>
          </w:p>
          <w:p w:rsidR="003A43BC" w:rsidRDefault="003A43BC" w:rsidP="00BB6609"/>
          <w:p w:rsidR="003A43BC" w:rsidRDefault="003A43BC" w:rsidP="00BB6609"/>
        </w:tc>
        <w:tc>
          <w:tcPr>
            <w:tcW w:w="2835" w:type="dxa"/>
          </w:tcPr>
          <w:p w:rsidR="003A43BC" w:rsidRDefault="003A43BC" w:rsidP="00006E20">
            <w:r>
              <w:t xml:space="preserve">Answering a question, completing a fill in, </w:t>
            </w:r>
            <w:r w:rsidR="00006E20">
              <w:t>without the item physically present</w:t>
            </w:r>
          </w:p>
        </w:tc>
        <w:tc>
          <w:tcPr>
            <w:tcW w:w="2801" w:type="dxa"/>
            <w:gridSpan w:val="2"/>
          </w:tcPr>
          <w:p w:rsidR="003A43BC" w:rsidRDefault="003A43BC" w:rsidP="00BB6609">
            <w:pPr>
              <w:pStyle w:val="ListParagraph"/>
              <w:numPr>
                <w:ilvl w:val="0"/>
                <w:numId w:val="3"/>
              </w:numPr>
              <w:ind w:left="252" w:hanging="270"/>
            </w:pPr>
            <w:r>
              <w:t>Child says “cookie” in response to “What’s your favourite food?”</w:t>
            </w:r>
          </w:p>
          <w:p w:rsidR="003A43BC" w:rsidRDefault="003A43BC" w:rsidP="00BB6609">
            <w:pPr>
              <w:pStyle w:val="ListParagraph"/>
              <w:numPr>
                <w:ilvl w:val="0"/>
                <w:numId w:val="3"/>
              </w:numPr>
              <w:ind w:left="252" w:hanging="270"/>
            </w:pPr>
            <w:r>
              <w:t>Child says “cookie” in response to “you eat a…”</w:t>
            </w:r>
          </w:p>
        </w:tc>
      </w:tr>
      <w:tr w:rsidR="003A43BC" w:rsidTr="006F770F">
        <w:tc>
          <w:tcPr>
            <w:tcW w:w="1809" w:type="dxa"/>
          </w:tcPr>
          <w:p w:rsidR="003A43BC" w:rsidRDefault="003A43BC" w:rsidP="00BB6609">
            <w:r>
              <w:t>Echoic</w:t>
            </w:r>
          </w:p>
        </w:tc>
        <w:tc>
          <w:tcPr>
            <w:tcW w:w="1985" w:type="dxa"/>
            <w:gridSpan w:val="2"/>
          </w:tcPr>
          <w:p w:rsidR="003A43BC" w:rsidRDefault="003A43BC" w:rsidP="00BB6609">
            <w:r>
              <w:t>Vocal imitation/repeating</w:t>
            </w:r>
          </w:p>
        </w:tc>
        <w:tc>
          <w:tcPr>
            <w:tcW w:w="2835" w:type="dxa"/>
          </w:tcPr>
          <w:p w:rsidR="003A43BC" w:rsidRDefault="00006E20" w:rsidP="00BB6609">
            <w:r>
              <w:t>Imitating what someone else says</w:t>
            </w:r>
          </w:p>
        </w:tc>
        <w:tc>
          <w:tcPr>
            <w:tcW w:w="2801" w:type="dxa"/>
            <w:gridSpan w:val="2"/>
          </w:tcPr>
          <w:p w:rsidR="003A43BC" w:rsidRDefault="003A43BC" w:rsidP="00BB6609">
            <w:pPr>
              <w:pStyle w:val="ListParagraph"/>
              <w:numPr>
                <w:ilvl w:val="0"/>
                <w:numId w:val="3"/>
              </w:numPr>
              <w:ind w:left="252" w:hanging="270"/>
            </w:pPr>
            <w:r>
              <w:t>Adult says “cookie”, child says “cookie”</w:t>
            </w:r>
          </w:p>
        </w:tc>
      </w:tr>
      <w:tr w:rsidR="003A43BC" w:rsidTr="006F770F">
        <w:tc>
          <w:tcPr>
            <w:tcW w:w="1809" w:type="dxa"/>
          </w:tcPr>
          <w:p w:rsidR="003A43BC" w:rsidRDefault="003A43BC" w:rsidP="00BB6609">
            <w:r>
              <w:t>Listener response</w:t>
            </w:r>
          </w:p>
        </w:tc>
        <w:tc>
          <w:tcPr>
            <w:tcW w:w="1985" w:type="dxa"/>
            <w:gridSpan w:val="2"/>
          </w:tcPr>
          <w:p w:rsidR="003A43BC" w:rsidRDefault="003A43BC" w:rsidP="00BB6609">
            <w:r>
              <w:t>Receptive language</w:t>
            </w:r>
            <w:r w:rsidR="00006E20">
              <w:t xml:space="preserve"> (understanding)</w:t>
            </w:r>
          </w:p>
        </w:tc>
        <w:tc>
          <w:tcPr>
            <w:tcW w:w="2835" w:type="dxa"/>
          </w:tcPr>
          <w:p w:rsidR="003A43BC" w:rsidRDefault="003A43BC" w:rsidP="00006E20">
            <w:r>
              <w:t xml:space="preserve">Following </w:t>
            </w:r>
            <w:r w:rsidR="00006E20">
              <w:t xml:space="preserve">spoken </w:t>
            </w:r>
            <w:r>
              <w:t>directions</w:t>
            </w:r>
          </w:p>
        </w:tc>
        <w:tc>
          <w:tcPr>
            <w:tcW w:w="2801" w:type="dxa"/>
            <w:gridSpan w:val="2"/>
          </w:tcPr>
          <w:p w:rsidR="003A43BC" w:rsidRDefault="00006E20" w:rsidP="00BB6609">
            <w:pPr>
              <w:pStyle w:val="ListParagraph"/>
              <w:numPr>
                <w:ilvl w:val="0"/>
                <w:numId w:val="3"/>
              </w:numPr>
              <w:ind w:left="252" w:hanging="252"/>
            </w:pPr>
            <w:r>
              <w:t>“S</w:t>
            </w:r>
            <w:r w:rsidR="003A43BC">
              <w:t>how me the cookie”</w:t>
            </w:r>
          </w:p>
        </w:tc>
      </w:tr>
      <w:tr w:rsidR="003A43BC" w:rsidTr="006F770F">
        <w:tc>
          <w:tcPr>
            <w:tcW w:w="1809" w:type="dxa"/>
          </w:tcPr>
          <w:p w:rsidR="003A43BC" w:rsidRDefault="003A43BC" w:rsidP="00BB6609">
            <w:r>
              <w:t>Feature, function, class</w:t>
            </w:r>
          </w:p>
          <w:p w:rsidR="003A43BC" w:rsidRDefault="003A43BC" w:rsidP="00BB6609">
            <w:r>
              <w:t>(receptive or expressive)</w:t>
            </w:r>
          </w:p>
        </w:tc>
        <w:tc>
          <w:tcPr>
            <w:tcW w:w="1985" w:type="dxa"/>
            <w:gridSpan w:val="2"/>
          </w:tcPr>
          <w:p w:rsidR="003A43BC" w:rsidRDefault="003A43BC" w:rsidP="00BB6609">
            <w:r>
              <w:t>n/a</w:t>
            </w:r>
          </w:p>
        </w:tc>
        <w:tc>
          <w:tcPr>
            <w:tcW w:w="2835" w:type="dxa"/>
          </w:tcPr>
          <w:p w:rsidR="003A43BC" w:rsidRDefault="003A43BC" w:rsidP="00BB6609">
            <w:r w:rsidRPr="001B5F76">
              <w:rPr>
                <w:i/>
              </w:rPr>
              <w:t>Features</w:t>
            </w:r>
            <w:r>
              <w:t xml:space="preserve"> – parts of items, descriptions</w:t>
            </w:r>
          </w:p>
          <w:p w:rsidR="003A43BC" w:rsidRDefault="003A43BC" w:rsidP="00BB6609">
            <w:r w:rsidRPr="001B5F76">
              <w:rPr>
                <w:i/>
              </w:rPr>
              <w:t>Function</w:t>
            </w:r>
            <w:r>
              <w:t xml:space="preserve"> – use of item/purpose</w:t>
            </w:r>
          </w:p>
          <w:p w:rsidR="003A43BC" w:rsidRDefault="003A43BC" w:rsidP="00BB6609">
            <w:r w:rsidRPr="001B5F76">
              <w:rPr>
                <w:i/>
              </w:rPr>
              <w:t>Class</w:t>
            </w:r>
            <w:r>
              <w:t xml:space="preserve"> - category</w:t>
            </w:r>
          </w:p>
        </w:tc>
        <w:tc>
          <w:tcPr>
            <w:tcW w:w="2801" w:type="dxa"/>
            <w:gridSpan w:val="2"/>
          </w:tcPr>
          <w:p w:rsidR="003A43BC" w:rsidRDefault="003A43BC" w:rsidP="00BB6609">
            <w:pPr>
              <w:pStyle w:val="ListParagraph"/>
              <w:numPr>
                <w:ilvl w:val="0"/>
                <w:numId w:val="3"/>
              </w:numPr>
              <w:ind w:left="252" w:hanging="252"/>
            </w:pPr>
            <w:r>
              <w:t>Cookie:</w:t>
            </w:r>
          </w:p>
          <w:p w:rsidR="003A43BC" w:rsidRDefault="003A43BC" w:rsidP="00BB6609">
            <w:r w:rsidRPr="001B5F76">
              <w:rPr>
                <w:i/>
              </w:rPr>
              <w:t>Features</w:t>
            </w:r>
            <w:r>
              <w:t xml:space="preserve"> – round, crunchy</w:t>
            </w:r>
          </w:p>
          <w:p w:rsidR="003A43BC" w:rsidRDefault="003A43BC" w:rsidP="00BB6609">
            <w:r w:rsidRPr="001B5F76">
              <w:rPr>
                <w:i/>
              </w:rPr>
              <w:t>Function</w:t>
            </w:r>
            <w:r>
              <w:t xml:space="preserve"> – eat it</w:t>
            </w:r>
          </w:p>
          <w:p w:rsidR="003A43BC" w:rsidRDefault="003A43BC" w:rsidP="00BB6609">
            <w:r w:rsidRPr="001B5F76">
              <w:rPr>
                <w:i/>
              </w:rPr>
              <w:t>Class</w:t>
            </w:r>
            <w:r>
              <w:t xml:space="preserve"> – food, snack</w:t>
            </w:r>
          </w:p>
        </w:tc>
      </w:tr>
      <w:tr w:rsidR="003A43BC" w:rsidTr="006F770F">
        <w:tc>
          <w:tcPr>
            <w:tcW w:w="1809" w:type="dxa"/>
          </w:tcPr>
          <w:p w:rsidR="003A43BC" w:rsidRDefault="003A43BC" w:rsidP="00BB6609">
            <w:r>
              <w:t>Verbal communication</w:t>
            </w:r>
          </w:p>
        </w:tc>
        <w:tc>
          <w:tcPr>
            <w:tcW w:w="1985" w:type="dxa"/>
            <w:gridSpan w:val="2"/>
          </w:tcPr>
          <w:p w:rsidR="003A43BC" w:rsidRDefault="003A43BC" w:rsidP="00BB6609">
            <w:r>
              <w:t>n/a</w:t>
            </w:r>
          </w:p>
        </w:tc>
        <w:tc>
          <w:tcPr>
            <w:tcW w:w="2835" w:type="dxa"/>
          </w:tcPr>
          <w:p w:rsidR="003A43BC" w:rsidRDefault="003A43BC" w:rsidP="00BB6609">
            <w:r>
              <w:t>Any form of communication</w:t>
            </w:r>
          </w:p>
        </w:tc>
        <w:tc>
          <w:tcPr>
            <w:tcW w:w="2801" w:type="dxa"/>
            <w:gridSpan w:val="2"/>
          </w:tcPr>
          <w:p w:rsidR="003A43BC" w:rsidRDefault="00006E20" w:rsidP="00006E20">
            <w:pPr>
              <w:pStyle w:val="ListParagraph"/>
              <w:numPr>
                <w:ilvl w:val="0"/>
                <w:numId w:val="3"/>
              </w:numPr>
              <w:ind w:left="252" w:hanging="270"/>
            </w:pPr>
            <w:r>
              <w:t>Using signs, pictures or speech-generating devices</w:t>
            </w:r>
            <w:r w:rsidR="00D71972">
              <w:t xml:space="preserve"> </w:t>
            </w:r>
            <w:r w:rsidR="00D71972" w:rsidRPr="00BE59B8">
              <w:t>or talking</w:t>
            </w:r>
          </w:p>
        </w:tc>
      </w:tr>
      <w:tr w:rsidR="003A43BC" w:rsidTr="006F770F">
        <w:tc>
          <w:tcPr>
            <w:tcW w:w="1809" w:type="dxa"/>
          </w:tcPr>
          <w:p w:rsidR="003A43BC" w:rsidRDefault="003A43BC" w:rsidP="00BB6609">
            <w:r>
              <w:t>Vocal communication</w:t>
            </w:r>
          </w:p>
        </w:tc>
        <w:tc>
          <w:tcPr>
            <w:tcW w:w="1985" w:type="dxa"/>
            <w:gridSpan w:val="2"/>
          </w:tcPr>
          <w:p w:rsidR="003A43BC" w:rsidRDefault="003A43BC" w:rsidP="00BB6609">
            <w:r>
              <w:t>n/a</w:t>
            </w:r>
          </w:p>
        </w:tc>
        <w:tc>
          <w:tcPr>
            <w:tcW w:w="2835" w:type="dxa"/>
          </w:tcPr>
          <w:p w:rsidR="003A43BC" w:rsidRDefault="00006E20" w:rsidP="00006E20">
            <w:r>
              <w:t>Talking</w:t>
            </w:r>
            <w:r w:rsidR="00BE59B8">
              <w:t xml:space="preserve"> only</w:t>
            </w:r>
          </w:p>
        </w:tc>
        <w:tc>
          <w:tcPr>
            <w:tcW w:w="2801" w:type="dxa"/>
            <w:gridSpan w:val="2"/>
          </w:tcPr>
          <w:p w:rsidR="003A43BC" w:rsidRDefault="003A43BC" w:rsidP="00006E20">
            <w:pPr>
              <w:pStyle w:val="ListParagraph"/>
              <w:ind w:left="252"/>
            </w:pPr>
          </w:p>
        </w:tc>
      </w:tr>
    </w:tbl>
    <w:p w:rsidR="003A43BC" w:rsidRDefault="003A43BC" w:rsidP="006F770F"/>
    <w:sectPr w:rsidR="003A43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FF" w:rsidRDefault="00610CFF" w:rsidP="00334571">
      <w:pPr>
        <w:spacing w:after="0" w:line="240" w:lineRule="auto"/>
      </w:pPr>
      <w:r>
        <w:separator/>
      </w:r>
    </w:p>
  </w:endnote>
  <w:endnote w:type="continuationSeparator" w:id="0">
    <w:p w:rsidR="00610CFF" w:rsidRDefault="00610CFF" w:rsidP="0033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71" w:rsidRDefault="00334571" w:rsidP="006F770F">
    <w:pPr>
      <w:pStyle w:val="Footer"/>
      <w:jc w:val="right"/>
    </w:pPr>
    <w:r>
      <w:t>S.Sokol CTN ACCS 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FF" w:rsidRDefault="00610CFF" w:rsidP="00334571">
      <w:pPr>
        <w:spacing w:after="0" w:line="240" w:lineRule="auto"/>
      </w:pPr>
      <w:r>
        <w:separator/>
      </w:r>
    </w:p>
  </w:footnote>
  <w:footnote w:type="continuationSeparator" w:id="0">
    <w:p w:rsidR="00610CFF" w:rsidRDefault="00610CFF" w:rsidP="00334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6341"/>
    <w:multiLevelType w:val="hybridMultilevel"/>
    <w:tmpl w:val="1DD2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17F67"/>
    <w:multiLevelType w:val="hybridMultilevel"/>
    <w:tmpl w:val="A28083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03FB1"/>
    <w:multiLevelType w:val="hybridMultilevel"/>
    <w:tmpl w:val="623E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70939"/>
    <w:multiLevelType w:val="hybridMultilevel"/>
    <w:tmpl w:val="E54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A275C"/>
    <w:multiLevelType w:val="hybridMultilevel"/>
    <w:tmpl w:val="79B8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A21F6"/>
    <w:multiLevelType w:val="hybridMultilevel"/>
    <w:tmpl w:val="21DEA1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1482C"/>
    <w:multiLevelType w:val="hybridMultilevel"/>
    <w:tmpl w:val="A9C4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71"/>
    <w:rsid w:val="000017D5"/>
    <w:rsid w:val="000045A7"/>
    <w:rsid w:val="00006E20"/>
    <w:rsid w:val="00014925"/>
    <w:rsid w:val="00063B38"/>
    <w:rsid w:val="000D0B3D"/>
    <w:rsid w:val="00185AC9"/>
    <w:rsid w:val="001B5F76"/>
    <w:rsid w:val="001F11C3"/>
    <w:rsid w:val="002163CD"/>
    <w:rsid w:val="002E2F18"/>
    <w:rsid w:val="002F141E"/>
    <w:rsid w:val="00334571"/>
    <w:rsid w:val="003A43BC"/>
    <w:rsid w:val="00461BFE"/>
    <w:rsid w:val="00475896"/>
    <w:rsid w:val="004807BC"/>
    <w:rsid w:val="004E3CBB"/>
    <w:rsid w:val="0050737C"/>
    <w:rsid w:val="00563D9B"/>
    <w:rsid w:val="005820DE"/>
    <w:rsid w:val="005962DB"/>
    <w:rsid w:val="005D5DD9"/>
    <w:rsid w:val="00610CFF"/>
    <w:rsid w:val="006C1E3C"/>
    <w:rsid w:val="006E39FD"/>
    <w:rsid w:val="006F09E7"/>
    <w:rsid w:val="006F770F"/>
    <w:rsid w:val="007562F3"/>
    <w:rsid w:val="00761528"/>
    <w:rsid w:val="00782704"/>
    <w:rsid w:val="00793042"/>
    <w:rsid w:val="00795EDC"/>
    <w:rsid w:val="007D2371"/>
    <w:rsid w:val="00903CAA"/>
    <w:rsid w:val="00A27C62"/>
    <w:rsid w:val="00A545EA"/>
    <w:rsid w:val="00AF7247"/>
    <w:rsid w:val="00B23F09"/>
    <w:rsid w:val="00B24C1D"/>
    <w:rsid w:val="00B42DFC"/>
    <w:rsid w:val="00B8153C"/>
    <w:rsid w:val="00BE59B8"/>
    <w:rsid w:val="00CB4D56"/>
    <w:rsid w:val="00D42104"/>
    <w:rsid w:val="00D71972"/>
    <w:rsid w:val="00D82812"/>
    <w:rsid w:val="00DD31A1"/>
    <w:rsid w:val="00EB7A18"/>
    <w:rsid w:val="00EF0435"/>
    <w:rsid w:val="00EF3673"/>
    <w:rsid w:val="00EF666C"/>
    <w:rsid w:val="00EF7D63"/>
    <w:rsid w:val="00F9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F76"/>
    <w:pPr>
      <w:ind w:left="720"/>
      <w:contextualSpacing/>
    </w:pPr>
  </w:style>
  <w:style w:type="paragraph" w:styleId="BalloonText">
    <w:name w:val="Balloon Text"/>
    <w:basedOn w:val="Normal"/>
    <w:link w:val="BalloonTextChar"/>
    <w:uiPriority w:val="99"/>
    <w:semiHidden/>
    <w:unhideWhenUsed/>
    <w:rsid w:val="00B42D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D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42DFC"/>
    <w:rPr>
      <w:sz w:val="18"/>
      <w:szCs w:val="18"/>
    </w:rPr>
  </w:style>
  <w:style w:type="paragraph" w:styleId="CommentText">
    <w:name w:val="annotation text"/>
    <w:basedOn w:val="Normal"/>
    <w:link w:val="CommentTextChar"/>
    <w:uiPriority w:val="99"/>
    <w:unhideWhenUsed/>
    <w:rsid w:val="00B42DFC"/>
    <w:pPr>
      <w:spacing w:line="240" w:lineRule="auto"/>
    </w:pPr>
    <w:rPr>
      <w:sz w:val="24"/>
      <w:szCs w:val="24"/>
    </w:rPr>
  </w:style>
  <w:style w:type="character" w:customStyle="1" w:styleId="CommentTextChar">
    <w:name w:val="Comment Text Char"/>
    <w:basedOn w:val="DefaultParagraphFont"/>
    <w:link w:val="CommentText"/>
    <w:uiPriority w:val="99"/>
    <w:rsid w:val="00B42DFC"/>
    <w:rPr>
      <w:sz w:val="24"/>
      <w:szCs w:val="24"/>
    </w:rPr>
  </w:style>
  <w:style w:type="paragraph" w:styleId="CommentSubject">
    <w:name w:val="annotation subject"/>
    <w:basedOn w:val="CommentText"/>
    <w:next w:val="CommentText"/>
    <w:link w:val="CommentSubjectChar"/>
    <w:uiPriority w:val="99"/>
    <w:semiHidden/>
    <w:unhideWhenUsed/>
    <w:rsid w:val="00B42DFC"/>
    <w:rPr>
      <w:b/>
      <w:bCs/>
      <w:sz w:val="20"/>
      <w:szCs w:val="20"/>
    </w:rPr>
  </w:style>
  <w:style w:type="character" w:customStyle="1" w:styleId="CommentSubjectChar">
    <w:name w:val="Comment Subject Char"/>
    <w:basedOn w:val="CommentTextChar"/>
    <w:link w:val="CommentSubject"/>
    <w:uiPriority w:val="99"/>
    <w:semiHidden/>
    <w:rsid w:val="00B42DFC"/>
    <w:rPr>
      <w:b/>
      <w:bCs/>
      <w:sz w:val="20"/>
      <w:szCs w:val="20"/>
    </w:rPr>
  </w:style>
  <w:style w:type="character" w:styleId="Hyperlink">
    <w:name w:val="Hyperlink"/>
    <w:rsid w:val="00B42DFC"/>
    <w:rPr>
      <w:u w:val="single"/>
    </w:rPr>
  </w:style>
  <w:style w:type="paragraph" w:customStyle="1" w:styleId="Default">
    <w:name w:val="Default"/>
    <w:rsid w:val="00B42D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33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571"/>
  </w:style>
  <w:style w:type="paragraph" w:styleId="Footer">
    <w:name w:val="footer"/>
    <w:basedOn w:val="Normal"/>
    <w:link w:val="FooterChar"/>
    <w:uiPriority w:val="99"/>
    <w:unhideWhenUsed/>
    <w:rsid w:val="0033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F76"/>
    <w:pPr>
      <w:ind w:left="720"/>
      <w:contextualSpacing/>
    </w:pPr>
  </w:style>
  <w:style w:type="paragraph" w:styleId="BalloonText">
    <w:name w:val="Balloon Text"/>
    <w:basedOn w:val="Normal"/>
    <w:link w:val="BalloonTextChar"/>
    <w:uiPriority w:val="99"/>
    <w:semiHidden/>
    <w:unhideWhenUsed/>
    <w:rsid w:val="00B42D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D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42DFC"/>
    <w:rPr>
      <w:sz w:val="18"/>
      <w:szCs w:val="18"/>
    </w:rPr>
  </w:style>
  <w:style w:type="paragraph" w:styleId="CommentText">
    <w:name w:val="annotation text"/>
    <w:basedOn w:val="Normal"/>
    <w:link w:val="CommentTextChar"/>
    <w:uiPriority w:val="99"/>
    <w:unhideWhenUsed/>
    <w:rsid w:val="00B42DFC"/>
    <w:pPr>
      <w:spacing w:line="240" w:lineRule="auto"/>
    </w:pPr>
    <w:rPr>
      <w:sz w:val="24"/>
      <w:szCs w:val="24"/>
    </w:rPr>
  </w:style>
  <w:style w:type="character" w:customStyle="1" w:styleId="CommentTextChar">
    <w:name w:val="Comment Text Char"/>
    <w:basedOn w:val="DefaultParagraphFont"/>
    <w:link w:val="CommentText"/>
    <w:uiPriority w:val="99"/>
    <w:rsid w:val="00B42DFC"/>
    <w:rPr>
      <w:sz w:val="24"/>
      <w:szCs w:val="24"/>
    </w:rPr>
  </w:style>
  <w:style w:type="paragraph" w:styleId="CommentSubject">
    <w:name w:val="annotation subject"/>
    <w:basedOn w:val="CommentText"/>
    <w:next w:val="CommentText"/>
    <w:link w:val="CommentSubjectChar"/>
    <w:uiPriority w:val="99"/>
    <w:semiHidden/>
    <w:unhideWhenUsed/>
    <w:rsid w:val="00B42DFC"/>
    <w:rPr>
      <w:b/>
      <w:bCs/>
      <w:sz w:val="20"/>
      <w:szCs w:val="20"/>
    </w:rPr>
  </w:style>
  <w:style w:type="character" w:customStyle="1" w:styleId="CommentSubjectChar">
    <w:name w:val="Comment Subject Char"/>
    <w:basedOn w:val="CommentTextChar"/>
    <w:link w:val="CommentSubject"/>
    <w:uiPriority w:val="99"/>
    <w:semiHidden/>
    <w:rsid w:val="00B42DFC"/>
    <w:rPr>
      <w:b/>
      <w:bCs/>
      <w:sz w:val="20"/>
      <w:szCs w:val="20"/>
    </w:rPr>
  </w:style>
  <w:style w:type="character" w:styleId="Hyperlink">
    <w:name w:val="Hyperlink"/>
    <w:rsid w:val="00B42DFC"/>
    <w:rPr>
      <w:u w:val="single"/>
    </w:rPr>
  </w:style>
  <w:style w:type="paragraph" w:customStyle="1" w:styleId="Default">
    <w:name w:val="Default"/>
    <w:rsid w:val="00B42D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33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571"/>
  </w:style>
  <w:style w:type="paragraph" w:styleId="Footer">
    <w:name w:val="footer"/>
    <w:basedOn w:val="Normal"/>
    <w:link w:val="FooterChar"/>
    <w:uiPriority w:val="99"/>
    <w:unhideWhenUsed/>
    <w:rsid w:val="0033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0181E-64D3-4EF8-9550-FA3543C4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Region of York</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 Sandra</dc:creator>
  <cp:lastModifiedBy>Reali, Simone</cp:lastModifiedBy>
  <cp:revision>2</cp:revision>
  <dcterms:created xsi:type="dcterms:W3CDTF">2016-11-11T18:19:00Z</dcterms:created>
  <dcterms:modified xsi:type="dcterms:W3CDTF">2016-11-11T18:19:00Z</dcterms:modified>
</cp:coreProperties>
</file>